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AB" w:rsidRPr="00E04FAA" w:rsidRDefault="00B9063B" w:rsidP="00EA59F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04FAA">
        <w:rPr>
          <w:rFonts w:ascii="Arial" w:hAnsi="Arial" w:cs="Arial"/>
          <w:b/>
          <w:bCs/>
          <w:sz w:val="36"/>
          <w:szCs w:val="36"/>
        </w:rPr>
        <w:t xml:space="preserve"> </w:t>
      </w:r>
      <w:r w:rsidR="00590994" w:rsidRPr="00E04FAA">
        <w:rPr>
          <w:rFonts w:ascii="Arial" w:hAnsi="Arial" w:cs="Arial"/>
          <w:b/>
          <w:bCs/>
          <w:sz w:val="36"/>
          <w:szCs w:val="36"/>
        </w:rPr>
        <w:t xml:space="preserve">CREATIVE </w:t>
      </w:r>
      <w:r w:rsidR="00590994">
        <w:rPr>
          <w:rFonts w:ascii="Arial" w:hAnsi="Arial" w:cs="Arial"/>
          <w:b/>
          <w:bCs/>
          <w:sz w:val="36"/>
          <w:szCs w:val="36"/>
        </w:rPr>
        <w:t>WICKLOW</w:t>
      </w:r>
      <w:r w:rsidR="0018738E" w:rsidRPr="00E04FAA">
        <w:rPr>
          <w:rFonts w:ascii="Arial" w:hAnsi="Arial" w:cs="Arial"/>
          <w:b/>
          <w:bCs/>
          <w:sz w:val="36"/>
          <w:szCs w:val="36"/>
        </w:rPr>
        <w:t xml:space="preserve"> GRANTS </w:t>
      </w:r>
      <w:r w:rsidR="005F55C4">
        <w:rPr>
          <w:rFonts w:ascii="Arial" w:hAnsi="Arial" w:cs="Arial"/>
          <w:b/>
          <w:bCs/>
          <w:sz w:val="36"/>
          <w:szCs w:val="36"/>
        </w:rPr>
        <w:t>2022</w:t>
      </w:r>
      <w:r w:rsidR="0018738E" w:rsidRPr="00E04FAA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3D71AB" w:rsidRPr="00E04FAA" w:rsidRDefault="0091695A" w:rsidP="00125B3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BUDGET &amp; DECLARATION</w:t>
      </w:r>
    </w:p>
    <w:tbl>
      <w:tblPr>
        <w:tblpPr w:leftFromText="180" w:rightFromText="180" w:vertAnchor="text" w:horzAnchor="margin" w:tblpY="265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12"/>
        <w:gridCol w:w="5009"/>
        <w:gridCol w:w="2658"/>
      </w:tblGrid>
      <w:tr w:rsidR="00EA59F8" w:rsidRPr="006C21AA" w:rsidTr="0087720A">
        <w:tc>
          <w:tcPr>
            <w:tcW w:w="10279" w:type="dxa"/>
            <w:gridSpan w:val="3"/>
            <w:shd w:val="clear" w:color="auto" w:fill="D9D9D9"/>
            <w:vAlign w:val="center"/>
          </w:tcPr>
          <w:bookmarkEnd w:id="0"/>
          <w:p w:rsidR="00335911" w:rsidRPr="006C21AA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give details of all your project costs (attach a separate budget if necessary) </w:t>
            </w:r>
          </w:p>
          <w:p w:rsidR="00EA59F8" w:rsidRPr="006C21AA" w:rsidRDefault="00EA59F8" w:rsidP="0087720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35911" w:rsidRPr="006C21AA" w:rsidTr="0087720A">
        <w:trPr>
          <w:trHeight w:val="540"/>
        </w:trPr>
        <w:tc>
          <w:tcPr>
            <w:tcW w:w="2612" w:type="dxa"/>
            <w:tcBorders>
              <w:top w:val="nil"/>
              <w:right w:val="nil"/>
            </w:tcBorders>
            <w:vAlign w:val="center"/>
          </w:tcPr>
          <w:p w:rsidR="00335911" w:rsidRPr="006C21AA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t>Item</w:t>
            </w:r>
          </w:p>
          <w:p w:rsidR="00335911" w:rsidRPr="006C21AA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nil"/>
            </w:tcBorders>
            <w:vAlign w:val="center"/>
          </w:tcPr>
          <w:p w:rsidR="00335911" w:rsidRPr="006C21AA" w:rsidRDefault="0087720A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t>Description</w:t>
            </w:r>
          </w:p>
          <w:p w:rsidR="00335911" w:rsidRPr="006C21AA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nil"/>
            </w:tcBorders>
            <w:vAlign w:val="center"/>
          </w:tcPr>
          <w:p w:rsidR="00335911" w:rsidRDefault="00335911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  <w:p w:rsidR="00335911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t>Cost</w:t>
            </w:r>
          </w:p>
        </w:tc>
      </w:tr>
      <w:tr w:rsidR="0087720A" w:rsidRPr="006C21AA" w:rsidTr="0087720A">
        <w:trPr>
          <w:trHeight w:val="294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435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339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236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240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240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87720A" w:rsidRPr="006C21AA" w:rsidTr="0087720A">
        <w:trPr>
          <w:trHeight w:val="240"/>
        </w:trPr>
        <w:tc>
          <w:tcPr>
            <w:tcW w:w="2612" w:type="dxa"/>
            <w:tcBorders>
              <w:top w:val="single" w:sz="4" w:space="0" w:color="auto"/>
              <w:right w:val="nil"/>
            </w:tcBorders>
            <w:vAlign w:val="center"/>
          </w:tcPr>
          <w:p w:rsidR="0087720A" w:rsidRDefault="0087720A" w:rsidP="0087720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t>Total Project Cost:</w:t>
            </w:r>
          </w:p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:rsidR="0087720A" w:rsidRPr="006C21A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87720A" w:rsidRDefault="0087720A" w:rsidP="0087720A">
            <w:pPr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</w:tbl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 w:rsidP="00125B32">
      <w:pPr>
        <w:rPr>
          <w:rFonts w:ascii="Arial" w:hAnsi="Arial" w:cs="Arial"/>
          <w:b/>
          <w:bCs/>
        </w:rPr>
      </w:pPr>
    </w:p>
    <w:p w:rsidR="0091695A" w:rsidRDefault="0091695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25B32" w:rsidRPr="006C21AA" w:rsidRDefault="00125B32" w:rsidP="00125B32">
      <w:pPr>
        <w:rPr>
          <w:rFonts w:ascii="Arial" w:hAnsi="Arial" w:cs="Arial"/>
          <w:b/>
          <w:bCs/>
        </w:rPr>
      </w:pPr>
      <w:r w:rsidRPr="006C21AA">
        <w:rPr>
          <w:rFonts w:ascii="Arial" w:hAnsi="Arial" w:cs="Arial"/>
          <w:b/>
          <w:bCs/>
        </w:rPr>
        <w:lastRenderedPageBreak/>
        <w:t>Declaration of Applicant(s)</w:t>
      </w: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i/>
          <w:iCs/>
          <w:lang w:val="en-GB" w:eastAsia="en-GB"/>
        </w:rPr>
      </w:pPr>
      <w:r w:rsidRPr="006C21AA">
        <w:rPr>
          <w:rFonts w:ascii="Arial" w:hAnsi="Arial" w:cs="Arial"/>
          <w:lang w:val="en-GB" w:eastAsia="en-GB"/>
        </w:rPr>
        <w:t>We have read and understood the information and criteria applicable to the Fund and agree to comply in full therewith. I/we certify that all information provided in this application, and all information given in any documentation submitted in support of the application is truthfu</w:t>
      </w:r>
      <w:r w:rsidR="00243E2E">
        <w:rPr>
          <w:rFonts w:ascii="Arial" w:hAnsi="Arial" w:cs="Arial"/>
          <w:lang w:val="en-GB" w:eastAsia="en-GB"/>
        </w:rPr>
        <w:t>l and accurate and that we</w:t>
      </w:r>
      <w:r w:rsidRPr="006C21AA">
        <w:rPr>
          <w:rFonts w:ascii="Arial" w:hAnsi="Arial" w:cs="Arial"/>
          <w:lang w:val="en-GB" w:eastAsia="en-GB"/>
        </w:rPr>
        <w:t xml:space="preserve"> have not applied to any other city / county council for funding for this</w:t>
      </w:r>
      <w:r w:rsidR="00BE797C">
        <w:rPr>
          <w:rFonts w:ascii="Arial" w:hAnsi="Arial" w:cs="Arial"/>
          <w:lang w:val="en-GB" w:eastAsia="en-GB"/>
        </w:rPr>
        <w:t xml:space="preserve"> </w:t>
      </w:r>
      <w:r w:rsidR="005F55C4">
        <w:rPr>
          <w:rFonts w:ascii="Arial" w:hAnsi="Arial" w:cs="Arial"/>
          <w:lang w:val="en-GB" w:eastAsia="en-GB"/>
        </w:rPr>
        <w:t>project</w:t>
      </w:r>
      <w:r w:rsidRPr="006C21AA">
        <w:rPr>
          <w:rFonts w:ascii="Arial" w:hAnsi="Arial" w:cs="Arial"/>
          <w:lang w:val="en-GB" w:eastAsia="en-GB"/>
        </w:rPr>
        <w:t xml:space="preserve">. </w:t>
      </w:r>
      <w:r w:rsidRPr="006C21AA">
        <w:rPr>
          <w:rFonts w:ascii="Arial" w:hAnsi="Arial" w:cs="Arial"/>
          <w:i/>
          <w:iCs/>
          <w:lang w:val="en-GB" w:eastAsia="en-GB"/>
        </w:rPr>
        <w:t xml:space="preserve">More than 1 group member must sign the application. </w:t>
      </w: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lang w:val="en-GB" w:eastAsia="en-GB"/>
        </w:rPr>
      </w:pP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  <w:r w:rsidRPr="006C21AA">
        <w:rPr>
          <w:rFonts w:ascii="Arial" w:hAnsi="Arial" w:cs="Arial"/>
          <w:b/>
          <w:bCs/>
          <w:lang w:val="en-GB" w:eastAsia="en-GB"/>
        </w:rPr>
        <w:t xml:space="preserve">Signed: ______________________________Date: _________________ </w:t>
      </w: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  <w:r w:rsidRPr="006C21AA">
        <w:rPr>
          <w:rFonts w:ascii="Arial" w:hAnsi="Arial" w:cs="Arial"/>
          <w:b/>
          <w:bCs/>
          <w:lang w:val="en-GB" w:eastAsia="en-GB"/>
        </w:rPr>
        <w:t>Name: (in block capitals): _____________________________________</w:t>
      </w: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5F55C4" w:rsidRDefault="005F55C4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  <w:r w:rsidRPr="006C21AA">
        <w:rPr>
          <w:rFonts w:ascii="Arial" w:hAnsi="Arial" w:cs="Arial"/>
          <w:b/>
          <w:bCs/>
          <w:lang w:val="en-GB" w:eastAsia="en-GB"/>
        </w:rPr>
        <w:t xml:space="preserve">Signed: ______________________________Date: _________________ </w:t>
      </w: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  <w:r w:rsidRPr="006C21AA">
        <w:rPr>
          <w:rFonts w:ascii="Arial" w:hAnsi="Arial" w:cs="Arial"/>
          <w:b/>
          <w:bCs/>
          <w:lang w:val="en-GB" w:eastAsia="en-GB"/>
        </w:rPr>
        <w:t xml:space="preserve">Name: (in block capitals): </w:t>
      </w: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  <w:r w:rsidRPr="006C21AA">
        <w:rPr>
          <w:rFonts w:ascii="Arial" w:hAnsi="Arial" w:cs="Arial"/>
          <w:b/>
          <w:bCs/>
          <w:lang w:val="en-GB" w:eastAsia="en-GB"/>
        </w:rPr>
        <w:t>__________________________________________________________</w:t>
      </w: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2F762D" w:rsidRDefault="002F762D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5F55C4" w:rsidRDefault="005F55C4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</w:p>
    <w:p w:rsidR="00125B32" w:rsidRPr="006C21AA" w:rsidRDefault="00125B32" w:rsidP="00125B32">
      <w:pPr>
        <w:spacing w:after="0" w:line="240" w:lineRule="auto"/>
        <w:rPr>
          <w:rFonts w:ascii="Arial" w:hAnsi="Arial" w:cs="Arial"/>
          <w:b/>
          <w:bCs/>
          <w:lang w:val="en-GB" w:eastAsia="en-GB"/>
        </w:rPr>
      </w:pPr>
      <w:r w:rsidRPr="006C21AA">
        <w:rPr>
          <w:rFonts w:ascii="Arial" w:hAnsi="Arial" w:cs="Arial"/>
          <w:b/>
          <w:bCs/>
          <w:lang w:val="en-GB" w:eastAsia="en-GB"/>
        </w:rPr>
        <w:t>On behalf of: (organisation's name):</w:t>
      </w:r>
      <w:r w:rsidR="0018738E">
        <w:rPr>
          <w:rFonts w:ascii="Arial" w:hAnsi="Arial" w:cs="Arial"/>
          <w:b/>
          <w:bCs/>
          <w:lang w:val="en-GB" w:eastAsia="en-GB"/>
        </w:rPr>
        <w:t>______________________________________</w:t>
      </w:r>
    </w:p>
    <w:sectPr w:rsidR="00125B32" w:rsidRPr="006C21AA" w:rsidSect="00125B32">
      <w:headerReference w:type="default" r:id="rId9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D6" w:rsidRDefault="00ED1AD6" w:rsidP="00043FE0">
      <w:pPr>
        <w:spacing w:after="0" w:line="240" w:lineRule="auto"/>
      </w:pPr>
      <w:r>
        <w:separator/>
      </w:r>
    </w:p>
  </w:endnote>
  <w:endnote w:type="continuationSeparator" w:id="0">
    <w:p w:rsidR="00ED1AD6" w:rsidRDefault="00ED1AD6" w:rsidP="0004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M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D6" w:rsidRDefault="00ED1AD6" w:rsidP="00043FE0">
      <w:pPr>
        <w:spacing w:after="0" w:line="240" w:lineRule="auto"/>
      </w:pPr>
      <w:r>
        <w:separator/>
      </w:r>
    </w:p>
  </w:footnote>
  <w:footnote w:type="continuationSeparator" w:id="0">
    <w:p w:rsidR="00ED1AD6" w:rsidRDefault="00ED1AD6" w:rsidP="0004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0A" w:rsidRDefault="0087720A" w:rsidP="00B9063B">
    <w:pPr>
      <w:pStyle w:val="Header"/>
      <w:ind w:left="4513" w:firstLine="4513"/>
    </w:pPr>
    <w:r>
      <w:rPr>
        <w:noProof/>
        <w:lang w:eastAsia="en-IE"/>
      </w:rPr>
      <w:drawing>
        <wp:inline distT="0" distB="0" distL="0" distR="0">
          <wp:extent cx="685800" cy="799721"/>
          <wp:effectExtent l="19050" t="0" r="0" b="0"/>
          <wp:docPr id="2" name="Picture 1" descr="WICKLOW.CO.CO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CKLOW.CO.CO-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99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F82"/>
    <w:multiLevelType w:val="hybridMultilevel"/>
    <w:tmpl w:val="EBE2E9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F377BB"/>
    <w:multiLevelType w:val="hybridMultilevel"/>
    <w:tmpl w:val="8C96D314"/>
    <w:lvl w:ilvl="0" w:tplc="CA546C98">
      <w:numFmt w:val="bullet"/>
      <w:lvlText w:val="-"/>
      <w:lvlJc w:val="left"/>
      <w:pPr>
        <w:ind w:left="432" w:hanging="360"/>
      </w:pPr>
      <w:rPr>
        <w:rFonts w:ascii="FoundersMed" w:eastAsia="Times New Roman" w:hAnsi="FoundersMe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14E8317D"/>
    <w:multiLevelType w:val="hybridMultilevel"/>
    <w:tmpl w:val="A14EA28A"/>
    <w:lvl w:ilvl="0" w:tplc="B11AB2AA">
      <w:numFmt w:val="bullet"/>
      <w:lvlText w:val="-"/>
      <w:lvlJc w:val="left"/>
      <w:pPr>
        <w:ind w:left="432" w:hanging="360"/>
      </w:pPr>
      <w:rPr>
        <w:rFonts w:ascii="FoundersMed" w:eastAsia="Times New Roman" w:hAnsi="FoundersMe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B386A"/>
    <w:multiLevelType w:val="hybridMultilevel"/>
    <w:tmpl w:val="E6502D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5E70FF"/>
    <w:multiLevelType w:val="hybridMultilevel"/>
    <w:tmpl w:val="9312BD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95410"/>
    <w:multiLevelType w:val="hybridMultilevel"/>
    <w:tmpl w:val="8886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2102418"/>
    <w:multiLevelType w:val="hybridMultilevel"/>
    <w:tmpl w:val="C3B8E3BC"/>
    <w:lvl w:ilvl="0" w:tplc="B11AB2AA">
      <w:numFmt w:val="bullet"/>
      <w:lvlText w:val="-"/>
      <w:lvlJc w:val="left"/>
      <w:pPr>
        <w:ind w:left="432" w:hanging="360"/>
      </w:pPr>
      <w:rPr>
        <w:rFonts w:ascii="FoundersMed" w:eastAsia="Times New Roman" w:hAnsi="FoundersMe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43DE5F52"/>
    <w:multiLevelType w:val="hybridMultilevel"/>
    <w:tmpl w:val="2B280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AD4788"/>
    <w:multiLevelType w:val="hybridMultilevel"/>
    <w:tmpl w:val="E7401F0E"/>
    <w:lvl w:ilvl="0" w:tplc="C018D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748C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58C8C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1CCF2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AF240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9345A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2325A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35CF5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DE262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>
    <w:nsid w:val="5F883CE9"/>
    <w:multiLevelType w:val="hybridMultilevel"/>
    <w:tmpl w:val="0A1A05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85F85"/>
    <w:multiLevelType w:val="hybridMultilevel"/>
    <w:tmpl w:val="9C389780"/>
    <w:lvl w:ilvl="0" w:tplc="AC04A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3EA98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39260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932AB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A70A0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0548E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54E74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D1463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44C91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6A1C12F6"/>
    <w:multiLevelType w:val="hybridMultilevel"/>
    <w:tmpl w:val="509A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624D9A"/>
    <w:multiLevelType w:val="hybridMultilevel"/>
    <w:tmpl w:val="80B05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37597"/>
    <w:multiLevelType w:val="hybridMultilevel"/>
    <w:tmpl w:val="D6341B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B4552"/>
    <w:multiLevelType w:val="hybridMultilevel"/>
    <w:tmpl w:val="5DB6A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94"/>
    <w:rsid w:val="00003310"/>
    <w:rsid w:val="00006C80"/>
    <w:rsid w:val="00042846"/>
    <w:rsid w:val="00043FE0"/>
    <w:rsid w:val="00050F9F"/>
    <w:rsid w:val="0006045E"/>
    <w:rsid w:val="00064D0F"/>
    <w:rsid w:val="00065AAF"/>
    <w:rsid w:val="000A577B"/>
    <w:rsid w:val="000B6778"/>
    <w:rsid w:val="000C3D89"/>
    <w:rsid w:val="000C4941"/>
    <w:rsid w:val="000E47C7"/>
    <w:rsid w:val="00102AE0"/>
    <w:rsid w:val="00105FF9"/>
    <w:rsid w:val="00125B32"/>
    <w:rsid w:val="00153D03"/>
    <w:rsid w:val="001832B0"/>
    <w:rsid w:val="0018738E"/>
    <w:rsid w:val="001A6824"/>
    <w:rsid w:val="001C5841"/>
    <w:rsid w:val="001D4D37"/>
    <w:rsid w:val="001F1D70"/>
    <w:rsid w:val="0022528E"/>
    <w:rsid w:val="00230102"/>
    <w:rsid w:val="00243E2E"/>
    <w:rsid w:val="00253AF1"/>
    <w:rsid w:val="00262247"/>
    <w:rsid w:val="00262309"/>
    <w:rsid w:val="002676A3"/>
    <w:rsid w:val="00275F2C"/>
    <w:rsid w:val="002836C1"/>
    <w:rsid w:val="0029524E"/>
    <w:rsid w:val="002A5EAE"/>
    <w:rsid w:val="002F1011"/>
    <w:rsid w:val="002F2278"/>
    <w:rsid w:val="002F762D"/>
    <w:rsid w:val="00306B9C"/>
    <w:rsid w:val="003114A3"/>
    <w:rsid w:val="00335911"/>
    <w:rsid w:val="00335FF6"/>
    <w:rsid w:val="003650E8"/>
    <w:rsid w:val="003757E6"/>
    <w:rsid w:val="0039029D"/>
    <w:rsid w:val="003A4BC0"/>
    <w:rsid w:val="003D2580"/>
    <w:rsid w:val="003D71AB"/>
    <w:rsid w:val="003E1DEA"/>
    <w:rsid w:val="004015DB"/>
    <w:rsid w:val="00402BAD"/>
    <w:rsid w:val="00425265"/>
    <w:rsid w:val="00476CDA"/>
    <w:rsid w:val="00480D11"/>
    <w:rsid w:val="004857FB"/>
    <w:rsid w:val="00486AC4"/>
    <w:rsid w:val="00494BC4"/>
    <w:rsid w:val="00497E77"/>
    <w:rsid w:val="004A5AF6"/>
    <w:rsid w:val="004A62CE"/>
    <w:rsid w:val="004D7971"/>
    <w:rsid w:val="004F4D75"/>
    <w:rsid w:val="00524891"/>
    <w:rsid w:val="0054403F"/>
    <w:rsid w:val="005448B5"/>
    <w:rsid w:val="00572175"/>
    <w:rsid w:val="005871A7"/>
    <w:rsid w:val="00590994"/>
    <w:rsid w:val="00594730"/>
    <w:rsid w:val="005D0922"/>
    <w:rsid w:val="005E1281"/>
    <w:rsid w:val="005F55C4"/>
    <w:rsid w:val="00604DC2"/>
    <w:rsid w:val="00611A53"/>
    <w:rsid w:val="006342BE"/>
    <w:rsid w:val="00645F52"/>
    <w:rsid w:val="00664DA1"/>
    <w:rsid w:val="0066779F"/>
    <w:rsid w:val="006C21AA"/>
    <w:rsid w:val="006C2EBF"/>
    <w:rsid w:val="006F4B09"/>
    <w:rsid w:val="007118A5"/>
    <w:rsid w:val="00732B5C"/>
    <w:rsid w:val="00734ACB"/>
    <w:rsid w:val="00754F7C"/>
    <w:rsid w:val="007A251A"/>
    <w:rsid w:val="007B12CC"/>
    <w:rsid w:val="007C716A"/>
    <w:rsid w:val="00803AD5"/>
    <w:rsid w:val="00831FB9"/>
    <w:rsid w:val="00834F4B"/>
    <w:rsid w:val="0087720A"/>
    <w:rsid w:val="00897067"/>
    <w:rsid w:val="008A0D90"/>
    <w:rsid w:val="008A17BB"/>
    <w:rsid w:val="008B6597"/>
    <w:rsid w:val="008C5688"/>
    <w:rsid w:val="009037FC"/>
    <w:rsid w:val="009110D0"/>
    <w:rsid w:val="0091695A"/>
    <w:rsid w:val="009301BB"/>
    <w:rsid w:val="00982ABE"/>
    <w:rsid w:val="009A5F03"/>
    <w:rsid w:val="009C3562"/>
    <w:rsid w:val="009E6502"/>
    <w:rsid w:val="009F015E"/>
    <w:rsid w:val="00A03876"/>
    <w:rsid w:val="00A62C31"/>
    <w:rsid w:val="00A64737"/>
    <w:rsid w:val="00A75EBE"/>
    <w:rsid w:val="00A7680B"/>
    <w:rsid w:val="00B14B03"/>
    <w:rsid w:val="00B178E0"/>
    <w:rsid w:val="00B24EC2"/>
    <w:rsid w:val="00B32CA1"/>
    <w:rsid w:val="00B33BCB"/>
    <w:rsid w:val="00B47A4F"/>
    <w:rsid w:val="00B640B6"/>
    <w:rsid w:val="00B9063B"/>
    <w:rsid w:val="00BE0238"/>
    <w:rsid w:val="00BE5D3A"/>
    <w:rsid w:val="00BE797C"/>
    <w:rsid w:val="00BF6421"/>
    <w:rsid w:val="00C05035"/>
    <w:rsid w:val="00C15AFA"/>
    <w:rsid w:val="00C3680B"/>
    <w:rsid w:val="00C57262"/>
    <w:rsid w:val="00C67618"/>
    <w:rsid w:val="00C8689A"/>
    <w:rsid w:val="00CB51A8"/>
    <w:rsid w:val="00CB596E"/>
    <w:rsid w:val="00CE0B3C"/>
    <w:rsid w:val="00CF3361"/>
    <w:rsid w:val="00D01FEC"/>
    <w:rsid w:val="00D06FC5"/>
    <w:rsid w:val="00D11AE5"/>
    <w:rsid w:val="00D80A89"/>
    <w:rsid w:val="00DB7FE8"/>
    <w:rsid w:val="00DC34E2"/>
    <w:rsid w:val="00E04FAA"/>
    <w:rsid w:val="00E46414"/>
    <w:rsid w:val="00E76B96"/>
    <w:rsid w:val="00E93666"/>
    <w:rsid w:val="00EA59F8"/>
    <w:rsid w:val="00EA6094"/>
    <w:rsid w:val="00ED1AD6"/>
    <w:rsid w:val="00ED2C61"/>
    <w:rsid w:val="00EF59C2"/>
    <w:rsid w:val="00F07157"/>
    <w:rsid w:val="00F10186"/>
    <w:rsid w:val="00F21743"/>
    <w:rsid w:val="00F316BB"/>
    <w:rsid w:val="00F466BB"/>
    <w:rsid w:val="00F71338"/>
    <w:rsid w:val="00F83A7F"/>
    <w:rsid w:val="00FF0586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9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7C7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094"/>
    <w:pPr>
      <w:ind w:left="720"/>
    </w:pPr>
  </w:style>
  <w:style w:type="table" w:styleId="TableGrid">
    <w:name w:val="Table Grid"/>
    <w:basedOn w:val="TableNormal"/>
    <w:uiPriority w:val="99"/>
    <w:rsid w:val="00EA60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15A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E0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E0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E0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C716A"/>
    <w:rPr>
      <w:rFonts w:ascii="Times New Roman" w:eastAsia="Times New Roman" w:hAnsi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1F1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D70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70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9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7C7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094"/>
    <w:pPr>
      <w:ind w:left="720"/>
    </w:pPr>
  </w:style>
  <w:style w:type="table" w:styleId="TableGrid">
    <w:name w:val="Table Grid"/>
    <w:basedOn w:val="TableNormal"/>
    <w:uiPriority w:val="99"/>
    <w:rsid w:val="00EA60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15A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E0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3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E0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E0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C716A"/>
    <w:rPr>
      <w:rFonts w:ascii="Times New Roman" w:eastAsia="Times New Roman" w:hAnsi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1F1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D70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70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8F27A-DFA6-4C69-8143-92D05315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Longford County Council, in association with Ireland 2016 and the Department of Arts, Heritage and the Gaeltacht wants to develop a programme of events to mark the coming 1916 centenary</vt:lpstr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Longford County Council, in association with Ireland 2016 and the Department of Arts, Heritage and the Gaeltacht wants to develop a programme of events to mark the coming 1916 centenary</dc:title>
  <dc:creator>Brendan Martin</dc:creator>
  <cp:lastModifiedBy>Sile Stewart</cp:lastModifiedBy>
  <cp:revision>2</cp:revision>
  <cp:lastPrinted>2017-03-27T13:15:00Z</cp:lastPrinted>
  <dcterms:created xsi:type="dcterms:W3CDTF">2022-05-20T16:01:00Z</dcterms:created>
  <dcterms:modified xsi:type="dcterms:W3CDTF">2022-05-20T16:01:00Z</dcterms:modified>
</cp:coreProperties>
</file>